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DA09" w14:textId="6C18CBDD" w:rsidR="00C67F3F" w:rsidRDefault="00C67F3F" w:rsidP="00C7640E">
      <w:pPr>
        <w:pStyle w:val="Title1-Bold"/>
        <w:spacing w:line="240" w:lineRule="auto"/>
        <w:jc w:val="center"/>
        <w:rPr>
          <w:rFonts w:ascii="Calibri" w:hAnsi="Calibri" w:cs="Open Sans"/>
          <w:color w:val="006982"/>
          <w:sz w:val="44"/>
          <w:szCs w:val="44"/>
          <w:lang w:val="es-ES"/>
        </w:rPr>
      </w:pPr>
      <w:r w:rsidRPr="00C67F3F">
        <w:rPr>
          <w:rFonts w:ascii="Calibri" w:hAnsi="Calibri" w:cs="Open Sans"/>
          <w:color w:val="006982"/>
          <w:sz w:val="44"/>
          <w:szCs w:val="44"/>
          <w:lang w:val="es-ES"/>
        </w:rPr>
        <w:t>Valoración</w:t>
      </w:r>
      <w:r w:rsidRPr="00C67F3F">
        <w:rPr>
          <w:rFonts w:ascii="Calibri" w:hAnsi="Calibri" w:cs="Open Sans"/>
          <w:color w:val="006982"/>
          <w:sz w:val="44"/>
          <w:szCs w:val="44"/>
          <w:lang w:val="es-ES"/>
        </w:rPr>
        <w:t xml:space="preserve"> de una UPP y tipos de </w:t>
      </w:r>
      <w:r w:rsidRPr="00C67F3F">
        <w:rPr>
          <w:rFonts w:ascii="Calibri" w:hAnsi="Calibri" w:cs="Open Sans"/>
          <w:color w:val="006982"/>
          <w:sz w:val="44"/>
          <w:szCs w:val="44"/>
          <w:lang w:val="es-ES"/>
        </w:rPr>
        <w:t>apósitos</w:t>
      </w:r>
      <w:r w:rsidRPr="00C67F3F">
        <w:rPr>
          <w:rFonts w:ascii="Calibri" w:hAnsi="Calibri" w:cs="Open Sans"/>
          <w:color w:val="006982"/>
          <w:sz w:val="44"/>
          <w:szCs w:val="44"/>
          <w:lang w:val="es-ES"/>
        </w:rPr>
        <w:t xml:space="preserve"> </w:t>
      </w:r>
      <w:r w:rsidRPr="00C67F3F">
        <w:rPr>
          <w:rFonts w:ascii="Calibri" w:hAnsi="Calibri" w:cs="Open Sans"/>
          <w:color w:val="006982"/>
          <w:sz w:val="44"/>
          <w:szCs w:val="44"/>
          <w:lang w:val="es-ES"/>
        </w:rPr>
        <w:t>más</w:t>
      </w:r>
      <w:r w:rsidRPr="00C67F3F">
        <w:rPr>
          <w:rFonts w:ascii="Calibri" w:hAnsi="Calibri" w:cs="Open Sans"/>
          <w:color w:val="006982"/>
          <w:sz w:val="44"/>
          <w:szCs w:val="44"/>
          <w:lang w:val="es-ES"/>
        </w:rPr>
        <w:t xml:space="preserve"> frecuentes</w:t>
      </w:r>
    </w:p>
    <w:p w14:paraId="34154755" w14:textId="49FBE5DB" w:rsidR="009646AE" w:rsidRPr="004D20AB" w:rsidRDefault="00C67F3F" w:rsidP="00C7640E">
      <w:pPr>
        <w:pStyle w:val="Title1-Bold"/>
        <w:spacing w:line="240" w:lineRule="auto"/>
        <w:jc w:val="center"/>
        <w:rPr>
          <w:rFonts w:ascii="Calibri" w:hAnsi="Calibri" w:cs="Open Sans"/>
          <w:caps/>
          <w:color w:val="00B0F0"/>
          <w:sz w:val="28"/>
          <w:szCs w:val="28"/>
          <w:lang w:val="es-ES"/>
        </w:rPr>
      </w:pPr>
      <w:r>
        <w:rPr>
          <w:rFonts w:ascii="Calibri" w:hAnsi="Calibri" w:cs="Open Sans"/>
          <w:color w:val="00B0F0"/>
          <w:sz w:val="28"/>
          <w:szCs w:val="28"/>
          <w:lang w:val="es-ES"/>
        </w:rPr>
        <w:t>NOVIEMBRE</w:t>
      </w:r>
      <w:r w:rsidR="00CD2B8F">
        <w:rPr>
          <w:rFonts w:ascii="Calibri" w:hAnsi="Calibri" w:cs="Open Sans"/>
          <w:color w:val="00B0F0"/>
          <w:sz w:val="28"/>
          <w:szCs w:val="28"/>
          <w:lang w:val="es-ES"/>
        </w:rPr>
        <w:t xml:space="preserve"> </w:t>
      </w:r>
      <w:r w:rsidR="004D20AB">
        <w:rPr>
          <w:rFonts w:ascii="Calibri" w:hAnsi="Calibri" w:cs="Open Sans"/>
          <w:color w:val="00B0F0"/>
          <w:sz w:val="28"/>
          <w:szCs w:val="28"/>
          <w:lang w:val="es-ES"/>
        </w:rPr>
        <w:t>-</w:t>
      </w:r>
      <w:r w:rsidR="007A18B6">
        <w:rPr>
          <w:rFonts w:ascii="Calibri" w:hAnsi="Calibri" w:cs="Open Sans"/>
          <w:color w:val="00B0F0"/>
          <w:sz w:val="28"/>
          <w:szCs w:val="28"/>
          <w:lang w:val="es-ES"/>
        </w:rPr>
        <w:t xml:space="preserve"> 202</w:t>
      </w:r>
      <w:r w:rsidR="0045168B">
        <w:rPr>
          <w:rFonts w:ascii="Calibri" w:hAnsi="Calibri" w:cs="Open Sans"/>
          <w:color w:val="00B0F0"/>
          <w:sz w:val="28"/>
          <w:szCs w:val="28"/>
          <w:lang w:val="es-ES"/>
        </w:rPr>
        <w:t>2</w:t>
      </w:r>
    </w:p>
    <w:p w14:paraId="70B37A9A" w14:textId="77777777" w:rsidR="007A18B6" w:rsidRDefault="007A18B6" w:rsidP="007A18B6">
      <w:pPr>
        <w:jc w:val="both"/>
        <w:rPr>
          <w:rFonts w:ascii="Calibri" w:hAnsi="Calibri" w:cs="Open Sans"/>
          <w:b/>
          <w:color w:val="006982"/>
          <w:sz w:val="24"/>
        </w:rPr>
      </w:pPr>
    </w:p>
    <w:p w14:paraId="6B823232" w14:textId="52611019" w:rsidR="007A18B6" w:rsidRPr="007A18B6" w:rsidRDefault="007A18B6" w:rsidP="007A18B6">
      <w:pPr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A18B6">
        <w:rPr>
          <w:rFonts w:ascii="Calibri" w:hAnsi="Calibri" w:cs="Open Sans"/>
          <w:b/>
          <w:color w:val="006982"/>
          <w:sz w:val="24"/>
        </w:rPr>
        <w:t>Autor: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Dr. José Luis Gómez Urquiza</w:t>
      </w:r>
    </w:p>
    <w:p w14:paraId="7CCCA84A" w14:textId="7460B561" w:rsidR="007A18B6" w:rsidRPr="007A18B6" w:rsidRDefault="007A18B6" w:rsidP="007A18B6">
      <w:pPr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7A18B6">
        <w:rPr>
          <w:rFonts w:ascii="Calibri" w:hAnsi="Calibri" w:cs="Open Sans"/>
          <w:b/>
          <w:color w:val="006982"/>
          <w:sz w:val="24"/>
        </w:rPr>
        <w:t>Fecha de elaboración: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</w:t>
      </w:r>
      <w:r w:rsidR="00C67F3F">
        <w:rPr>
          <w:rFonts w:ascii="Calibri" w:hAnsi="Calibri" w:cs="Open Sans"/>
          <w:color w:val="595959" w:themeColor="text1" w:themeTint="A6"/>
          <w:sz w:val="24"/>
          <w:szCs w:val="24"/>
        </w:rPr>
        <w:t>31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>/</w:t>
      </w:r>
      <w:r w:rsidR="00C67F3F">
        <w:rPr>
          <w:rFonts w:ascii="Calibri" w:hAnsi="Calibri" w:cs="Open Sans"/>
          <w:color w:val="595959" w:themeColor="text1" w:themeTint="A6"/>
          <w:sz w:val="24"/>
          <w:szCs w:val="24"/>
        </w:rPr>
        <w:t>1</w:t>
      </w:r>
      <w:r w:rsidR="004D20AB">
        <w:rPr>
          <w:rFonts w:ascii="Calibri" w:hAnsi="Calibri" w:cs="Open Sans"/>
          <w:color w:val="595959" w:themeColor="text1" w:themeTint="A6"/>
          <w:sz w:val="24"/>
          <w:szCs w:val="24"/>
        </w:rPr>
        <w:t>0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>/2</w:t>
      </w:r>
      <w:r w:rsidR="004D20AB">
        <w:rPr>
          <w:rFonts w:ascii="Calibri" w:hAnsi="Calibri" w:cs="Open Sans"/>
          <w:color w:val="595959" w:themeColor="text1" w:themeTint="A6"/>
          <w:sz w:val="24"/>
          <w:szCs w:val="24"/>
        </w:rPr>
        <w:t>02</w:t>
      </w:r>
      <w:r w:rsidR="001E5E15">
        <w:rPr>
          <w:rFonts w:ascii="Calibri" w:hAnsi="Calibri" w:cs="Open Sans"/>
          <w:color w:val="595959" w:themeColor="text1" w:themeTint="A6"/>
          <w:sz w:val="24"/>
          <w:szCs w:val="24"/>
        </w:rPr>
        <w:t>2</w:t>
      </w:r>
    </w:p>
    <w:p w14:paraId="22BBD184" w14:textId="77777777" w:rsidR="00C67F3F" w:rsidRDefault="00C67F3F" w:rsidP="00C67F3F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Dentro de las recientemente denominadas </w:t>
      </w:r>
      <w:r w:rsidRPr="00A40CC9">
        <w:rPr>
          <w:rFonts w:ascii="Calibri" w:hAnsi="Calibri" w:cs="Open Sans"/>
          <w:b/>
          <w:color w:val="006982"/>
          <w:sz w:val="24"/>
        </w:rPr>
        <w:t>lesiones cutáneas relacionadas con la dependencia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se encuentran las previamente conocidas como úlceras por presión. Recientemente se ha propuesto su denominación como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</w:t>
      </w:r>
      <w:r>
        <w:rPr>
          <w:rFonts w:ascii="Calibri" w:hAnsi="Calibri" w:cs="Open Sans"/>
          <w:b/>
          <w:color w:val="006982"/>
          <w:sz w:val="24"/>
        </w:rPr>
        <w:t>lesiones por presión y cizalla</w:t>
      </w:r>
      <w:r w:rsidRPr="007A18B6">
        <w:rPr>
          <w:rFonts w:ascii="Calibri" w:hAnsi="Calibri" w:cs="Open Sans"/>
          <w:color w:val="595959" w:themeColor="text1" w:themeTint="A6"/>
          <w:sz w:val="24"/>
          <w:szCs w:val="24"/>
        </w:rPr>
        <w:t xml:space="preserve"> 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>que se definen como “</w:t>
      </w:r>
      <w:r w:rsidRPr="00B5352F">
        <w:rPr>
          <w:rFonts w:ascii="Calibri" w:hAnsi="Calibri" w:cs="Open Sans"/>
          <w:i/>
          <w:iCs/>
          <w:color w:val="595959" w:themeColor="text1" w:themeTint="A6"/>
          <w:sz w:val="24"/>
          <w:szCs w:val="24"/>
        </w:rPr>
        <w:t>una lesión localizada en la piel y/o el tejido subyacente por lo general sobre una prominencia ósea, como resultado de la presión, o la presión en combinación con las fuerzas de cizalla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>”. También podría aparecer esta presión a causa de material o dispositivos clínicos.</w:t>
      </w:r>
    </w:p>
    <w:p w14:paraId="1A618C06" w14:textId="77777777" w:rsidR="00C67F3F" w:rsidRDefault="00C67F3F" w:rsidP="00C67F3F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14:paraId="2B457834" w14:textId="77777777" w:rsidR="00C67F3F" w:rsidRDefault="00C67F3F" w:rsidP="00C67F3F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La categorización de lesiones por presión incluye </w:t>
      </w:r>
      <w:r w:rsidRPr="001545C7">
        <w:rPr>
          <w:rFonts w:ascii="Calibri" w:hAnsi="Calibri" w:cs="Open Sans"/>
          <w:b/>
          <w:color w:val="006982"/>
          <w:sz w:val="24"/>
        </w:rPr>
        <w:t>4 categorías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>: la Categoría I o eritema no blanqueable, la Categoría II o úlcera de espesor parcial, la Categoría III o pérdida total del grosor de la piel y la Categoría IV o pérdida total del espesor de los tejidos.</w:t>
      </w:r>
    </w:p>
    <w:p w14:paraId="23213B4F" w14:textId="77777777" w:rsidR="00C67F3F" w:rsidRDefault="00C67F3F" w:rsidP="00C67F3F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14:paraId="4CED0610" w14:textId="77777777" w:rsidR="00C67F3F" w:rsidRDefault="00C67F3F" w:rsidP="00C67F3F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La </w:t>
      </w:r>
      <w:r w:rsidRPr="00CE1C17">
        <w:rPr>
          <w:rFonts w:ascii="Calibri" w:hAnsi="Calibri" w:cs="Open Sans"/>
          <w:b/>
          <w:color w:val="006982"/>
          <w:sz w:val="24"/>
        </w:rPr>
        <w:t>valoración clínica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de las lesiones por presión incluye las siguientes variables:</w:t>
      </w:r>
    </w:p>
    <w:p w14:paraId="3C0E6EC7" w14:textId="77777777" w:rsidR="00C67F3F" w:rsidRPr="004D70DC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  <w:lang w:val="es-ES_tradnl"/>
        </w:rPr>
        <w:t>Exposición o causa: pudiendo deberse a presión o a presión y/o cizalla.</w:t>
      </w:r>
    </w:p>
    <w:p w14:paraId="10BC8F67" w14:textId="77777777" w:rsidR="00C67F3F" w:rsidRPr="006A0228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  <w:lang w:val="es-ES_tradnl"/>
        </w:rPr>
        <w:t>Evolución del daño: desde fuera a dentro o desde dentro hacia fuera.</w:t>
      </w:r>
    </w:p>
    <w:p w14:paraId="2CD6245B" w14:textId="77777777" w:rsidR="00C67F3F" w:rsidRPr="00CE1C17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CE1C17">
        <w:rPr>
          <w:rFonts w:ascii="Calibri" w:hAnsi="Calibri" w:cs="Open Sans"/>
          <w:color w:val="595959" w:themeColor="text1" w:themeTint="A6"/>
          <w:sz w:val="24"/>
          <w:szCs w:val="24"/>
          <w:lang w:val="es-ES_tradnl"/>
        </w:rPr>
        <w:t>Localización de la lesión</w:t>
      </w:r>
      <w:r>
        <w:rPr>
          <w:rFonts w:ascii="Calibri" w:hAnsi="Calibri" w:cs="Open Sans"/>
          <w:color w:val="595959" w:themeColor="text1" w:themeTint="A6"/>
          <w:sz w:val="24"/>
          <w:szCs w:val="24"/>
          <w:lang w:val="es-ES_tradnl"/>
        </w:rPr>
        <w:t>.</w:t>
      </w:r>
    </w:p>
    <w:p w14:paraId="2E3D8AE8" w14:textId="77777777" w:rsidR="00C67F3F" w:rsidRPr="00CE1C17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  <w:lang w:val="es-ES_tradnl"/>
        </w:rPr>
        <w:t>Color de la piel integra.</w:t>
      </w:r>
    </w:p>
    <w:p w14:paraId="0A06A394" w14:textId="77777777" w:rsidR="00C67F3F" w:rsidRPr="00CE1C17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  <w:lang w:val="es-ES_tradnl"/>
        </w:rPr>
        <w:t>Afectación (piel, tejidos subyacentes, lesiones superficiales, lesiones profundas).</w:t>
      </w:r>
    </w:p>
    <w:p w14:paraId="3BBE0835" w14:textId="77777777" w:rsidR="00C67F3F" w:rsidRPr="00CE1C17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  <w:lang w:val="es-ES_tradnl"/>
        </w:rPr>
        <w:t>Color del lecho de la lesión (rosa, rojo, amarillento, marrón, negro, etc.).</w:t>
      </w:r>
    </w:p>
    <w:p w14:paraId="044DAFE0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Presencia o no de exudado y sus características.</w:t>
      </w:r>
    </w:p>
    <w:p w14:paraId="3360D6F4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Bordes (delimitación, difusos, circunscrito, etc.)</w:t>
      </w:r>
    </w:p>
    <w:p w14:paraId="2523196C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Forma, tamaño y distribución (regular, redondeada, ovalada, elongada, irregular, lineal, etc.).</w:t>
      </w:r>
    </w:p>
    <w:p w14:paraId="4E930259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Presencia o no de necrosis.</w:t>
      </w:r>
    </w:p>
    <w:p w14:paraId="78CE006C" w14:textId="63C8D707" w:rsidR="00C67F3F" w:rsidRPr="00CE1C17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Otros síntomas (dolor, edema, olor, prurito, hormigueo, etc.)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>.</w:t>
      </w:r>
    </w:p>
    <w:p w14:paraId="11F32540" w14:textId="77777777" w:rsidR="00C67F3F" w:rsidRPr="00CE1C17" w:rsidRDefault="00C67F3F" w:rsidP="00C67F3F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14:paraId="37E8BF06" w14:textId="77777777" w:rsidR="00C67F3F" w:rsidRDefault="00C67F3F" w:rsidP="00C67F3F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Entre los </w:t>
      </w:r>
      <w:r w:rsidRPr="00F81624">
        <w:rPr>
          <w:rFonts w:ascii="Calibri" w:hAnsi="Calibri" w:cs="Open Sans"/>
          <w:b/>
          <w:color w:val="006982"/>
          <w:sz w:val="24"/>
        </w:rPr>
        <w:t>productos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que pueden usarse para la cura de las lesiones por presión existen, entre otros, y de forma resumida, los siguientes:</w:t>
      </w:r>
    </w:p>
    <w:p w14:paraId="76F51A8C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Para la piel: ácidos grasos hiperoxigenados con silicona para la prevención de lesiones y mezclas de silicona a base siloxanos para la protección de la piel perilesional.</w:t>
      </w:r>
    </w:p>
    <w:p w14:paraId="3408771A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Para la limpieza de heridas la </w:t>
      </w:r>
      <w:proofErr w:type="spellStart"/>
      <w:r>
        <w:rPr>
          <w:rFonts w:ascii="Calibri" w:hAnsi="Calibri" w:cs="Open Sans"/>
          <w:color w:val="595959" w:themeColor="text1" w:themeTint="A6"/>
          <w:sz w:val="24"/>
          <w:szCs w:val="24"/>
        </w:rPr>
        <w:t>polihexabiguanida</w:t>
      </w:r>
      <w:proofErr w:type="spellEnd"/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(</w:t>
      </w:r>
      <w:proofErr w:type="spellStart"/>
      <w:r>
        <w:rPr>
          <w:rFonts w:ascii="Calibri" w:hAnsi="Calibri" w:cs="Open Sans"/>
          <w:color w:val="595959" w:themeColor="text1" w:themeTint="A6"/>
          <w:sz w:val="24"/>
          <w:szCs w:val="24"/>
        </w:rPr>
        <w:t>Prontosan</w:t>
      </w:r>
      <w:proofErr w:type="spellEnd"/>
      <w:r>
        <w:rPr>
          <w:rFonts w:ascii="Calibri" w:hAnsi="Calibri" w:cs="Open Sans"/>
          <w:color w:val="595959" w:themeColor="text1" w:themeTint="A6"/>
          <w:sz w:val="24"/>
          <w:szCs w:val="24"/>
        </w:rPr>
        <w:t>®).</w:t>
      </w:r>
    </w:p>
    <w:p w14:paraId="43CDFF3B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lastRenderedPageBreak/>
        <w:t xml:space="preserve">Para el desbridamiento apósitos </w:t>
      </w:r>
      <w:proofErr w:type="spellStart"/>
      <w:r>
        <w:rPr>
          <w:rFonts w:ascii="Calibri" w:hAnsi="Calibri" w:cs="Open Sans"/>
          <w:color w:val="595959" w:themeColor="text1" w:themeTint="A6"/>
          <w:sz w:val="24"/>
          <w:szCs w:val="24"/>
        </w:rPr>
        <w:t>hidrotersivos</w:t>
      </w:r>
      <w:proofErr w:type="spellEnd"/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de fibras de poliacrilato (</w:t>
      </w:r>
      <w:proofErr w:type="spellStart"/>
      <w:r>
        <w:rPr>
          <w:rFonts w:ascii="Calibri" w:hAnsi="Calibri" w:cs="Open Sans"/>
          <w:color w:val="595959" w:themeColor="text1" w:themeTint="A6"/>
          <w:sz w:val="24"/>
          <w:szCs w:val="24"/>
        </w:rPr>
        <w:t>UrgoClean</w:t>
      </w:r>
      <w:proofErr w:type="spellEnd"/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®), </w:t>
      </w:r>
      <w:proofErr w:type="spellStart"/>
      <w:r>
        <w:rPr>
          <w:rFonts w:ascii="Calibri" w:hAnsi="Calibri" w:cs="Open Sans"/>
          <w:color w:val="595959" w:themeColor="text1" w:themeTint="A6"/>
          <w:sz w:val="24"/>
          <w:szCs w:val="24"/>
        </w:rPr>
        <w:t>cadexómero</w:t>
      </w:r>
      <w:proofErr w:type="spellEnd"/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iodo e hidrogel.</w:t>
      </w:r>
    </w:p>
    <w:p w14:paraId="50C54BA8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Fibras o cintas de </w:t>
      </w:r>
      <w:proofErr w:type="spellStart"/>
      <w:r>
        <w:rPr>
          <w:rFonts w:ascii="Calibri" w:hAnsi="Calibri" w:cs="Open Sans"/>
          <w:color w:val="595959" w:themeColor="text1" w:themeTint="A6"/>
          <w:sz w:val="24"/>
          <w:szCs w:val="24"/>
        </w:rPr>
        <w:t>hidrofibra</w:t>
      </w:r>
      <w:proofErr w:type="spellEnd"/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para absorber exudado y favorecer el desbridamiento autolítico.</w:t>
      </w:r>
    </w:p>
    <w:p w14:paraId="3BF441F9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Mallas para la reducción de adherencias y evitar la resecación de la zona y algunas que favorecen la epitelización o con acción antimicrobiana.</w:t>
      </w:r>
    </w:p>
    <w:p w14:paraId="2493D469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Apósitos hidrocoloides que favorecen el desbridamiento autolítico y la cicatrización en ambiente húmedo y pudiendo usarse también para prevención de lesiones como medio de protección. </w:t>
      </w:r>
    </w:p>
    <w:p w14:paraId="564889A6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Alginatos para lesiones muy exudativas y alginato de plata o platas no adhesivas con efecto antimicrobiano.</w:t>
      </w:r>
    </w:p>
    <w:p w14:paraId="37D5866A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Apósito matricial lípido-coloide para la aceleración de la cicatrización.</w:t>
      </w:r>
    </w:p>
    <w:p w14:paraId="15925392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Apósitos de espuma de poliuretano y espumas anatómicas para la prevención y tratamiento de las lesiones y para el manejo de exudado. Esto apósitos podrán llevar hidrocoloide y plata.</w:t>
      </w:r>
    </w:p>
    <w:p w14:paraId="299CD152" w14:textId="77777777" w:rsidR="00C67F3F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Material impregnado en carbón para las lesiones que desprenden mal olor.</w:t>
      </w:r>
    </w:p>
    <w:p w14:paraId="001702FF" w14:textId="77777777" w:rsidR="00C67F3F" w:rsidRPr="00BC6E92" w:rsidRDefault="00C67F3F" w:rsidP="00C67F3F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>Terapia de presión negativa, que no debe usarse en heridas infectadas.</w:t>
      </w:r>
    </w:p>
    <w:p w14:paraId="0DDA99B3" w14:textId="77777777" w:rsidR="00C67F3F" w:rsidRPr="009E1E53" w:rsidRDefault="00C67F3F" w:rsidP="00C67F3F">
      <w:p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</w:p>
    <w:p w14:paraId="16473030" w14:textId="77777777" w:rsidR="00C67F3F" w:rsidRPr="00187EB9" w:rsidRDefault="00C67F3F" w:rsidP="00C67F3F">
      <w:pPr>
        <w:spacing w:after="0" w:line="276" w:lineRule="auto"/>
        <w:rPr>
          <w:rFonts w:ascii="Calibri" w:hAnsi="Calibri" w:cs="Open Sans"/>
          <w:b/>
          <w:color w:val="006982"/>
          <w:sz w:val="28"/>
          <w:szCs w:val="24"/>
          <w:u w:val="single"/>
        </w:rPr>
      </w:pPr>
      <w:r>
        <w:rPr>
          <w:rFonts w:ascii="Calibri" w:hAnsi="Calibri" w:cs="Open Sans"/>
          <w:b/>
          <w:color w:val="006982"/>
          <w:sz w:val="28"/>
          <w:szCs w:val="24"/>
          <w:u w:val="single"/>
        </w:rPr>
        <w:t>BIBLIOGRAFÍA</w:t>
      </w:r>
    </w:p>
    <w:p w14:paraId="44105F7F" w14:textId="77777777" w:rsidR="00C67F3F" w:rsidRPr="00863FB1" w:rsidRDefault="00C67F3F" w:rsidP="00C67F3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863FB1">
        <w:rPr>
          <w:rFonts w:ascii="Calibri" w:hAnsi="Calibri" w:cs="Open Sans"/>
          <w:color w:val="595959" w:themeColor="text1" w:themeTint="A6"/>
          <w:sz w:val="24"/>
          <w:szCs w:val="24"/>
        </w:rPr>
        <w:t>García-Fernández et al. C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lasificación-categorización de las lesiones relacionadas con la dependencia. Serie de Documentos Técnicos </w:t>
      </w:r>
      <w:proofErr w:type="spellStart"/>
      <w:r>
        <w:rPr>
          <w:rFonts w:ascii="Calibri" w:hAnsi="Calibri" w:cs="Open Sans"/>
          <w:color w:val="595959" w:themeColor="text1" w:themeTint="A6"/>
          <w:sz w:val="24"/>
          <w:szCs w:val="24"/>
        </w:rPr>
        <w:t>GNEAUPP</w:t>
      </w:r>
      <w:proofErr w:type="spellEnd"/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Calibri" w:hAnsi="Calibri" w:cs="Open Sans"/>
          <w:color w:val="595959" w:themeColor="text1" w:themeTint="A6"/>
          <w:sz w:val="24"/>
          <w:szCs w:val="24"/>
        </w:rPr>
        <w:t>nºII</w:t>
      </w:r>
      <w:proofErr w:type="spellEnd"/>
      <w:r>
        <w:rPr>
          <w:rFonts w:ascii="Calibri" w:hAnsi="Calibri" w:cs="Open Sans"/>
          <w:color w:val="595959" w:themeColor="text1" w:themeTint="A6"/>
          <w:sz w:val="24"/>
          <w:szCs w:val="24"/>
        </w:rPr>
        <w:t>. 3ª edición Grupo Nacional para el Estudio y Asesoramiento en Úlceras por Presión y Heridas Crónicas Logroño. 2021.</w:t>
      </w:r>
    </w:p>
    <w:p w14:paraId="432C6C6A" w14:textId="77777777" w:rsidR="00C67F3F" w:rsidRDefault="00C67F3F" w:rsidP="00C67F3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 w:rsidRPr="00C62DA6">
        <w:rPr>
          <w:rFonts w:ascii="Calibri" w:hAnsi="Calibri" w:cs="Open Sans"/>
          <w:color w:val="595959" w:themeColor="text1" w:themeTint="A6"/>
          <w:sz w:val="24"/>
          <w:szCs w:val="24"/>
        </w:rPr>
        <w:t>Gerencia de Asistencia Sanitaria del Bierzo</w:t>
      </w: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. Catálogo de productos para cura en ambiente húmedo [4 de marzo de 2022]. Disponible en </w:t>
      </w:r>
      <w:hyperlink r:id="rId9" w:history="1">
        <w:r w:rsidRPr="00F715F7">
          <w:rPr>
            <w:rStyle w:val="Hipervnculo"/>
            <w:rFonts w:ascii="Calibri" w:hAnsi="Calibri" w:cs="Open Sans"/>
            <w:sz w:val="24"/>
            <w:szCs w:val="24"/>
          </w:rPr>
          <w:t>https://gneaupp.info/seccion/biblioteca-alhambra/guias-biblioteca-alhambra/guias-de-apositos/</w:t>
        </w:r>
      </w:hyperlink>
    </w:p>
    <w:p w14:paraId="1A47E7A4" w14:textId="77777777" w:rsidR="00C67F3F" w:rsidRPr="00C62DA6" w:rsidRDefault="00C67F3F" w:rsidP="00C67F3F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Fonts w:ascii="Calibri" w:hAnsi="Calibri" w:cs="Open Sans"/>
          <w:color w:val="595959" w:themeColor="text1" w:themeTint="A6"/>
          <w:sz w:val="24"/>
          <w:szCs w:val="24"/>
        </w:rPr>
      </w:pPr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Romero Pelegrín </w:t>
      </w:r>
      <w:proofErr w:type="spellStart"/>
      <w:r>
        <w:rPr>
          <w:rFonts w:ascii="Calibri" w:hAnsi="Calibri" w:cs="Open Sans"/>
          <w:color w:val="595959" w:themeColor="text1" w:themeTint="A6"/>
          <w:sz w:val="24"/>
          <w:szCs w:val="24"/>
        </w:rPr>
        <w:t>JM</w:t>
      </w:r>
      <w:proofErr w:type="spellEnd"/>
      <w:r>
        <w:rPr>
          <w:rFonts w:ascii="Calibri" w:hAnsi="Calibri" w:cs="Open Sans"/>
          <w:color w:val="595959" w:themeColor="text1" w:themeTint="A6"/>
          <w:sz w:val="24"/>
          <w:szCs w:val="24"/>
        </w:rPr>
        <w:t xml:space="preserve"> et al. Guía de productor para el tratamiento de heridas crónicas. 2ª edición. Unidad de Aprovisionamiento Integral SMS. 2020.</w:t>
      </w:r>
    </w:p>
    <w:p w14:paraId="538E3CD8" w14:textId="77777777" w:rsidR="00C67F3F" w:rsidRPr="00C62DA6" w:rsidRDefault="00C67F3F" w:rsidP="00C67F3F">
      <w:pPr>
        <w:spacing w:after="0" w:line="276" w:lineRule="auto"/>
        <w:ind w:left="360"/>
        <w:jc w:val="both"/>
        <w:rPr>
          <w:rFonts w:ascii="Calibri" w:hAnsi="Calibri" w:cs="Open Sans"/>
          <w:color w:val="595959" w:themeColor="text1" w:themeTint="A6"/>
          <w:sz w:val="24"/>
          <w:szCs w:val="24"/>
          <w:lang w:val="es-ES"/>
        </w:rPr>
      </w:pPr>
    </w:p>
    <w:p w14:paraId="12C10223" w14:textId="77777777" w:rsidR="00C67F3F" w:rsidRPr="00C62DA6" w:rsidRDefault="00C67F3F" w:rsidP="00C67F3F">
      <w:pPr>
        <w:jc w:val="both"/>
        <w:rPr>
          <w:lang w:val="es-ES"/>
        </w:rPr>
      </w:pPr>
    </w:p>
    <w:p w14:paraId="1540880E" w14:textId="77777777" w:rsidR="009646AE" w:rsidRPr="00B6213B" w:rsidRDefault="009646AE" w:rsidP="00C67F3F">
      <w:pPr>
        <w:spacing w:after="0" w:line="276" w:lineRule="auto"/>
        <w:jc w:val="both"/>
        <w:rPr>
          <w:lang w:val="en-US"/>
        </w:rPr>
      </w:pPr>
    </w:p>
    <w:sectPr w:rsidR="009646AE" w:rsidRPr="00B6213B" w:rsidSect="009646AE">
      <w:headerReference w:type="default" r:id="rId10"/>
      <w:footerReference w:type="default" r:id="rId11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DFC7" w14:textId="77777777" w:rsidR="00CF6EC6" w:rsidRDefault="00CF6EC6" w:rsidP="00BA09E4">
      <w:pPr>
        <w:spacing w:after="0" w:line="240" w:lineRule="auto"/>
      </w:pPr>
      <w:r>
        <w:separator/>
      </w:r>
    </w:p>
  </w:endnote>
  <w:endnote w:type="continuationSeparator" w:id="0">
    <w:p w14:paraId="68AD02A8" w14:textId="77777777" w:rsidR="00CF6EC6" w:rsidRDefault="00CF6EC6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7815" w14:textId="77777777" w:rsidR="00CF6EC6" w:rsidRDefault="00CF6EC6" w:rsidP="00BA09E4">
      <w:pPr>
        <w:spacing w:after="0" w:line="240" w:lineRule="auto"/>
      </w:pPr>
      <w:r>
        <w:separator/>
      </w:r>
    </w:p>
  </w:footnote>
  <w:footnote w:type="continuationSeparator" w:id="0">
    <w:p w14:paraId="3767FC5F" w14:textId="77777777" w:rsidR="00CF6EC6" w:rsidRDefault="00CF6EC6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7F6"/>
    <w:multiLevelType w:val="hybridMultilevel"/>
    <w:tmpl w:val="70FE55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5631"/>
    <w:multiLevelType w:val="hybridMultilevel"/>
    <w:tmpl w:val="01E85FDA"/>
    <w:lvl w:ilvl="0" w:tplc="ADEEF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17779"/>
    <w:multiLevelType w:val="hybridMultilevel"/>
    <w:tmpl w:val="46BC11F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2215"/>
    <w:multiLevelType w:val="hybridMultilevel"/>
    <w:tmpl w:val="4FEEA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73F32"/>
    <w:multiLevelType w:val="hybridMultilevel"/>
    <w:tmpl w:val="2DD25F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379B"/>
    <w:multiLevelType w:val="hybridMultilevel"/>
    <w:tmpl w:val="04DCC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42B29"/>
    <w:multiLevelType w:val="hybridMultilevel"/>
    <w:tmpl w:val="F51AAC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13730">
    <w:abstractNumId w:val="5"/>
  </w:num>
  <w:num w:numId="2" w16cid:durableId="614674983">
    <w:abstractNumId w:val="3"/>
  </w:num>
  <w:num w:numId="3" w16cid:durableId="631331482">
    <w:abstractNumId w:val="4"/>
  </w:num>
  <w:num w:numId="4" w16cid:durableId="384257849">
    <w:abstractNumId w:val="2"/>
  </w:num>
  <w:num w:numId="5" w16cid:durableId="785007336">
    <w:abstractNumId w:val="0"/>
  </w:num>
  <w:num w:numId="6" w16cid:durableId="1062100797">
    <w:abstractNumId w:val="6"/>
  </w:num>
  <w:num w:numId="7" w16cid:durableId="1982076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544CF"/>
    <w:rsid w:val="000667D1"/>
    <w:rsid w:val="00077BC2"/>
    <w:rsid w:val="00084730"/>
    <w:rsid w:val="0008559E"/>
    <w:rsid w:val="00087746"/>
    <w:rsid w:val="00103787"/>
    <w:rsid w:val="001A6E48"/>
    <w:rsid w:val="001E5E15"/>
    <w:rsid w:val="002428A7"/>
    <w:rsid w:val="0027610C"/>
    <w:rsid w:val="002777E5"/>
    <w:rsid w:val="0028216B"/>
    <w:rsid w:val="002914B0"/>
    <w:rsid w:val="002A6623"/>
    <w:rsid w:val="00303DE1"/>
    <w:rsid w:val="00327169"/>
    <w:rsid w:val="00366EBA"/>
    <w:rsid w:val="003A1E22"/>
    <w:rsid w:val="003B51ED"/>
    <w:rsid w:val="003E7624"/>
    <w:rsid w:val="004169CD"/>
    <w:rsid w:val="00430D3E"/>
    <w:rsid w:val="00443929"/>
    <w:rsid w:val="0045168B"/>
    <w:rsid w:val="00480E34"/>
    <w:rsid w:val="00481181"/>
    <w:rsid w:val="004B6DD2"/>
    <w:rsid w:val="004D20AB"/>
    <w:rsid w:val="004F06B3"/>
    <w:rsid w:val="004F74E7"/>
    <w:rsid w:val="005459C3"/>
    <w:rsid w:val="00555039"/>
    <w:rsid w:val="005701D0"/>
    <w:rsid w:val="005A55A6"/>
    <w:rsid w:val="005B0F3D"/>
    <w:rsid w:val="005E2AB5"/>
    <w:rsid w:val="006218E4"/>
    <w:rsid w:val="00681B5C"/>
    <w:rsid w:val="006877E5"/>
    <w:rsid w:val="006A0185"/>
    <w:rsid w:val="006B5197"/>
    <w:rsid w:val="006B7EF9"/>
    <w:rsid w:val="006F0658"/>
    <w:rsid w:val="00710C3D"/>
    <w:rsid w:val="00734038"/>
    <w:rsid w:val="007976FB"/>
    <w:rsid w:val="007A18B6"/>
    <w:rsid w:val="007E6D33"/>
    <w:rsid w:val="008030DA"/>
    <w:rsid w:val="008255E3"/>
    <w:rsid w:val="00887662"/>
    <w:rsid w:val="008B08D0"/>
    <w:rsid w:val="008D40F3"/>
    <w:rsid w:val="008E6023"/>
    <w:rsid w:val="00926343"/>
    <w:rsid w:val="00950705"/>
    <w:rsid w:val="009646AE"/>
    <w:rsid w:val="00992BDB"/>
    <w:rsid w:val="009A6825"/>
    <w:rsid w:val="009C109D"/>
    <w:rsid w:val="009C75E6"/>
    <w:rsid w:val="009E1E53"/>
    <w:rsid w:val="009E3DDA"/>
    <w:rsid w:val="00A0243D"/>
    <w:rsid w:val="00A77684"/>
    <w:rsid w:val="00A81673"/>
    <w:rsid w:val="00A97EF6"/>
    <w:rsid w:val="00AB70A0"/>
    <w:rsid w:val="00B54F6F"/>
    <w:rsid w:val="00B620E1"/>
    <w:rsid w:val="00B6213B"/>
    <w:rsid w:val="00BA09E4"/>
    <w:rsid w:val="00BB1AD5"/>
    <w:rsid w:val="00BB5405"/>
    <w:rsid w:val="00BC2BF1"/>
    <w:rsid w:val="00BC3ED7"/>
    <w:rsid w:val="00BD3507"/>
    <w:rsid w:val="00BD524F"/>
    <w:rsid w:val="00C67511"/>
    <w:rsid w:val="00C67F3F"/>
    <w:rsid w:val="00C7640E"/>
    <w:rsid w:val="00CD2B8F"/>
    <w:rsid w:val="00CE54BC"/>
    <w:rsid w:val="00CF6EC6"/>
    <w:rsid w:val="00D0352D"/>
    <w:rsid w:val="00D565DD"/>
    <w:rsid w:val="00D80005"/>
    <w:rsid w:val="00DD3801"/>
    <w:rsid w:val="00DE3B8C"/>
    <w:rsid w:val="00DE6B2F"/>
    <w:rsid w:val="00E34D8A"/>
    <w:rsid w:val="00EA398B"/>
    <w:rsid w:val="00EE2FEF"/>
    <w:rsid w:val="00F12363"/>
    <w:rsid w:val="00F45430"/>
    <w:rsid w:val="00F8196F"/>
    <w:rsid w:val="00F83618"/>
    <w:rsid w:val="00FD249A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customStyle="1" w:styleId="Title1-Bold">
    <w:name w:val="Title 1 - Bold"/>
    <w:basedOn w:val="Normal"/>
    <w:link w:val="Title1-BoldCar"/>
    <w:uiPriority w:val="99"/>
    <w:rsid w:val="009646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tillium Web" w:hAnsi="Titillium Web" w:cs="Titillium Web"/>
      <w:b/>
      <w:bCs/>
      <w:color w:val="004D7C"/>
      <w:sz w:val="84"/>
      <w:szCs w:val="84"/>
      <w:lang w:val="en-GB"/>
    </w:rPr>
  </w:style>
  <w:style w:type="character" w:customStyle="1" w:styleId="TOC-Title">
    <w:name w:val="TOC - Title"/>
    <w:uiPriority w:val="99"/>
    <w:rsid w:val="009646AE"/>
    <w:rPr>
      <w:rFonts w:ascii="Open Sans Extrabold" w:hAnsi="Open Sans Extrabold" w:cs="Open Sans Extrabold"/>
      <w:caps/>
      <w:sz w:val="28"/>
      <w:szCs w:val="28"/>
    </w:rPr>
  </w:style>
  <w:style w:type="character" w:customStyle="1" w:styleId="Title1-BoldCar">
    <w:name w:val="Title 1 - Bold Car"/>
    <w:basedOn w:val="Fuentedeprrafopredeter"/>
    <w:link w:val="Title1-Bold"/>
    <w:uiPriority w:val="99"/>
    <w:rsid w:val="009646AE"/>
    <w:rPr>
      <w:rFonts w:ascii="Titillium Web" w:hAnsi="Titillium Web" w:cs="Titillium Web"/>
      <w:b/>
      <w:bCs/>
      <w:color w:val="004D7C"/>
      <w:sz w:val="84"/>
      <w:szCs w:val="84"/>
      <w:lang w:val="en-GB"/>
    </w:rPr>
  </w:style>
  <w:style w:type="paragraph" w:styleId="Prrafodelista">
    <w:name w:val="List Paragraph"/>
    <w:basedOn w:val="Normal"/>
    <w:uiPriority w:val="34"/>
    <w:qFormat/>
    <w:rsid w:val="009646AE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A18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18B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E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E34"/>
    <w:rPr>
      <w:rFonts w:ascii="Times New Roman" w:hAnsi="Times New Roman" w:cs="Times New Roman"/>
      <w:sz w:val="18"/>
      <w:szCs w:val="18"/>
    </w:rPr>
  </w:style>
  <w:style w:type="character" w:customStyle="1" w:styleId="citation-title">
    <w:name w:val="citation-title"/>
    <w:basedOn w:val="Fuentedeprrafopredeter"/>
    <w:rsid w:val="00D0352D"/>
  </w:style>
  <w:style w:type="character" w:customStyle="1" w:styleId="citation">
    <w:name w:val="citation"/>
    <w:basedOn w:val="Fuentedeprrafopredeter"/>
    <w:rsid w:val="00D0352D"/>
  </w:style>
  <w:style w:type="character" w:customStyle="1" w:styleId="pubyear">
    <w:name w:val="pubyear"/>
    <w:basedOn w:val="Fuentedeprrafopredeter"/>
    <w:rsid w:val="00D0352D"/>
  </w:style>
  <w:style w:type="character" w:customStyle="1" w:styleId="volume">
    <w:name w:val="volume"/>
    <w:basedOn w:val="Fuentedeprrafopredeter"/>
    <w:rsid w:val="00D0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neaupp.info/seccion/biblioteca-alhambra/guias-biblioteca-alhambra/guias-de-aposi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20" ma:contentTypeDescription="Crear nuevo documento." ma:contentTypeScope="" ma:versionID="038a41dd1b41947a5e98eafc890693d8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2e7556ee4c0105284aa705ace670ca69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9219dfe4-4a4a-404d-98ff-a97be5b22e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9b0b64-1d7e-4e55-b3a7-9cb3d0ca4414}" ma:internalName="TaxCatchAll" ma:showField="CatchAllData" ma:web="b381f645-740b-42ed-b7a8-bca87c106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10FE99-B16A-4F63-9120-41C82DC4C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625FA-B237-45BA-B228-DD3FC6DD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Marta Rebanal - SalusPlay</cp:lastModifiedBy>
  <cp:revision>60</cp:revision>
  <dcterms:created xsi:type="dcterms:W3CDTF">2020-05-11T09:21:00Z</dcterms:created>
  <dcterms:modified xsi:type="dcterms:W3CDTF">2022-10-25T12:32:00Z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